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before="0" w:after="0"/>
        <w:ind w:left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18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города окружного значения Сургута Бордунов М.Б., находящийся по адресу: ХМАО-Югра,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308,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Левина Максима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предусмотренного ст. 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 М.А.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возле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 М.А.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М.А.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  <w:r>
        <w:rPr>
          <w:rFonts w:ascii="Times New Roman" w:eastAsia="Times New Roman" w:hAnsi="Times New Roman" w:cs="Times New Roman"/>
          <w:sz w:val="28"/>
          <w:szCs w:val="28"/>
        </w:rPr>
        <w:t>Учитывая обстоятельства административного правонарушения, наличие отягчающего обстоятельства, суд приходит к выводу о необходимости назначения наказания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Левина Максима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и 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</w:t>
      </w:r>
      <w:r>
        <w:rPr>
          <w:rStyle w:val="cat-Timegrp-17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янва</w:t>
      </w:r>
      <w:r>
        <w:rPr>
          <w:rFonts w:ascii="Times New Roman" w:eastAsia="Times New Roman" w:hAnsi="Times New Roman" w:cs="Times New Roman"/>
          <w:sz w:val="22"/>
          <w:szCs w:val="22"/>
        </w:rPr>
        <w:t>ря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Т.И. Слесарева</w:t>
      </w: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UserDefinedgrp-21rplc-8">
    <w:name w:val="cat-UserDefined grp-21 rplc-8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Timegrp-17rplc-22">
    <w:name w:val="cat-Time grp-17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